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что-нужно-знать-о-коррупции"/>
    <w:p>
      <w:pPr>
        <w:pStyle w:val="Heading3"/>
      </w:pPr>
      <w:r>
        <w:t xml:space="preserve">Что нужно знать о коррупции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drawing>
          <wp:inline>
            <wp:extent cx="5334000" cy="37869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cfd/sv08i0k6o1ucn8cc2ohbx8qzzo4azdjt/korruptsiya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69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preobr.mos.ru/www/upload/medialibrary/187/2nvkdcpr78iltm0v8ywr0dz4kmh23ma0/pamyatka-02-dropy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http://gbupreobr.mos.ru/presscenter/news/detail/12492599.html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gbupreobr.mos.ru" TargetMode="External" /><Relationship Type="http://schemas.openxmlformats.org/officeDocument/2006/relationships/hyperlink" Id="rId26" Target="http://gbupreobr.mos.ru/presscenter/news/detail/12492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bupreobr.mos.ru" TargetMode="External" /><Relationship Type="http://schemas.openxmlformats.org/officeDocument/2006/relationships/hyperlink" Id="rId26" Target="http://gbupreobr.mos.ru/presscenter/news/detail/12492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2024-11-04T23:24:48Z</dcterms:created>
  <dcterms:modified xsi:type="dcterms:W3CDTF">2024-11-04T23:24:48Z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