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шенники-и-инвестиции"/>
    <w:p>
      <w:pPr>
        <w:pStyle w:val="Heading3"/>
      </w:pPr>
      <w:r>
        <w:t xml:space="preserve">Мошенники и инвестиции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c8d/d04farw0atvw67oav3e8qvxrdz7hl0sy/24.04.2025_01_01_08_9360_25-stranitsa-2-ispravleno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http://gbupreobr.mos.ru/presscenter/news/detail/12944626.html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preobr.mos.ru" TargetMode="External" /><Relationship Type="http://schemas.openxmlformats.org/officeDocument/2006/relationships/hyperlink" Id="rId23" Target="http://gbupreobr.mos.ru/presscenter/news/detail/12944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preobr.mos.ru" TargetMode="External" /><Relationship Type="http://schemas.openxmlformats.org/officeDocument/2006/relationships/hyperlink" Id="rId23" Target="http://gbupreobr.mos.ru/presscenter/news/detail/12944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2025-05-05T06:35:46Z</dcterms:created>
  <dcterms:modified xsi:type="dcterms:W3CDTF">2025-05-05T06:35:46Z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